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hint="eastAsia" w:ascii="仿宋_GB2312" w:hAnsi="仿宋" w:eastAsia="仿宋_GB2312"/>
          <w:spacing w:val="-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pacing w:val="-2"/>
          <w:sz w:val="32"/>
          <w:szCs w:val="32"/>
          <w:highlight w:val="none"/>
        </w:rPr>
        <w:t>附件3：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</w:rPr>
        <w:t>王江泾镇公开招聘编外工作人员回避情况说明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在王江泾镇机关、国资公司、村（社区）工作亲属情况：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ind w:firstLine="6560" w:firstLineChars="2050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承诺人：</w:t>
      </w:r>
    </w:p>
    <w:p>
      <w:pPr>
        <w:ind w:firstLine="6400" w:firstLineChars="20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2041" w:right="1531" w:bottom="2041" w:left="1531" w:header="567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3561089F"/>
    <w:rsid w:val="356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2024-06-13T09:35:00Z</dcterms:created>
  <dc:creator>Administrator</dc:creator>
  <cp:lastModifiedBy>Administrator</cp:lastModifiedBy>
  <dcterms:modified xsi:type="dcterms:W3CDTF">2024-06-13T09:37:05Z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A652F633CB1247BE8257849FD6D9EC26_11</vt:lpwstr>
  </property>
</Properties>
</file>